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65D35" w14:textId="133AECE7" w:rsidR="0053400F" w:rsidRDefault="006F2401">
      <w:r>
        <w:t>Решение об использовании ООО типового устава принимается его участниками единогласно (</w:t>
      </w:r>
      <w:hyperlink r:id="rId4" w:tgtFrame="_top" w:history="1">
        <w:r>
          <w:rPr>
            <w:rStyle w:val="a3"/>
          </w:rPr>
          <w:t>п. 3 ст. 11 Федерального закона</w:t>
        </w:r>
      </w:hyperlink>
      <w:r>
        <w:t xml:space="preserve"> от 08.02.1998 № 14-ФЗ). Информация об использовании обществом типового устава отражается в ЕГРЮЛ.</w:t>
      </w:r>
    </w:p>
    <w:sectPr w:rsidR="00534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01"/>
    <w:rsid w:val="0053400F"/>
    <w:rsid w:val="006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88A2"/>
  <w15:chartTrackingRefBased/>
  <w15:docId w15:val="{4725FBB4-60CE-44D4-9157-A768DE4E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24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ts.1c.ru/db/garant/content/12009720/hdoc/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2023-12-04T08:40:00Z</dcterms:created>
  <dcterms:modified xsi:type="dcterms:W3CDTF">2023-12-04T08:40:00Z</dcterms:modified>
</cp:coreProperties>
</file>