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b w:val="1"/>
          <w:color w:val="cc0000"/>
          <w:sz w:val="20"/>
          <w:szCs w:val="20"/>
        </w:rPr>
      </w:pPr>
      <w:r w:rsidDel="00000000" w:rsidR="00000000" w:rsidRPr="00000000">
        <w:rPr>
          <w:b w:val="1"/>
          <w:color w:val="cc0000"/>
          <w:sz w:val="20"/>
          <w:szCs w:val="20"/>
          <w:rtl w:val="0"/>
        </w:rPr>
        <w:t xml:space="preserve">ВАЖНО: при подготовке и регистрации писем обращать внимание: от кого и кому исходит, так как есть два варианта договорных взаимоотношений: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color w:val="cc0000"/>
          <w:sz w:val="20"/>
          <w:szCs w:val="20"/>
        </w:rPr>
      </w:pPr>
      <w:r w:rsidDel="00000000" w:rsidR="00000000" w:rsidRPr="00000000">
        <w:rPr>
          <w:b w:val="1"/>
          <w:color w:val="cc0000"/>
          <w:sz w:val="20"/>
          <w:szCs w:val="20"/>
          <w:rtl w:val="0"/>
        </w:rPr>
        <w:t xml:space="preserve">“МВМ - КиКГЕОСТРОЙ”  и  “ШЕЛЛРОКК - СУБЧИК/ПОСТАВЩИК”. </w:t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b w:val="1"/>
          <w:color w:val="cc0000"/>
          <w:sz w:val="20"/>
          <w:szCs w:val="20"/>
        </w:rPr>
      </w:pPr>
      <w:r w:rsidDel="00000000" w:rsidR="00000000" w:rsidRPr="00000000">
        <w:rPr>
          <w:b w:val="1"/>
          <w:color w:val="cc0000"/>
          <w:sz w:val="20"/>
          <w:szCs w:val="20"/>
          <w:rtl w:val="0"/>
        </w:rPr>
        <w:t xml:space="preserve">ПОЭТОМУ ЗАВЕДЕНО ДВЕ ПАПКИ с  РЕЕСТРАМИ - для переписки КиКГЕОСТРОЙ и для переписки ШЕЛЛРОККа.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b w:val="1"/>
          <w:color w:val="cc0000"/>
          <w:sz w:val="20"/>
          <w:szCs w:val="20"/>
        </w:rPr>
      </w:pPr>
      <w:r w:rsidDel="00000000" w:rsidR="00000000" w:rsidRPr="00000000">
        <w:rPr>
          <w:b w:val="1"/>
          <w:color w:val="cc0000"/>
          <w:sz w:val="20"/>
          <w:szCs w:val="20"/>
          <w:rtl w:val="0"/>
        </w:rPr>
        <w:t xml:space="preserve">При регистрации входящих и исходящих писем к порядковым номерам рекомендую прибавлять буквенный индекс:  “К” для переписки КиКГЕОСТРОЙ и “Ш” для переписки ШЕЛЛРОККа. 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b w:val="1"/>
          <w:color w:val="cc0000"/>
          <w:sz w:val="20"/>
          <w:szCs w:val="20"/>
        </w:rPr>
      </w:pPr>
      <w:r w:rsidDel="00000000" w:rsidR="00000000" w:rsidRPr="00000000">
        <w:rPr>
          <w:b w:val="1"/>
          <w:color w:val="cc0000"/>
          <w:sz w:val="20"/>
          <w:szCs w:val="20"/>
          <w:rtl w:val="0"/>
        </w:rPr>
        <w:t xml:space="preserve">СТАРАЙТЕСЬ НЕ ПУТАТЬСЯ В ЭТОЙ СТРУКТУРЕ!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b w:val="1"/>
          <w:color w:val="cc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b w:val="1"/>
          <w:color w:val="cc0000"/>
          <w:sz w:val="20"/>
          <w:szCs w:val="20"/>
        </w:rPr>
      </w:pPr>
      <w:r w:rsidDel="00000000" w:rsidR="00000000" w:rsidRPr="00000000">
        <w:rPr>
          <w:b w:val="1"/>
          <w:color w:val="cc0000"/>
          <w:sz w:val="20"/>
          <w:szCs w:val="20"/>
          <w:rtl w:val="0"/>
        </w:rPr>
        <w:t xml:space="preserve">Если до момента начала ведения данной папки была уже какая-то переписка, то необходимо все эти письма внести в реестры под теми номерами, под которыми они отправлялись, а сканы сохранить в соответствующие папки. Аналогично с приказами и доверенностями, если таковые уже были оформлены.</w:t>
      </w:r>
    </w:p>
    <w:p w:rsidR="00000000" w:rsidDel="00000000" w:rsidP="00000000" w:rsidRDefault="00000000" w:rsidRPr="00000000" w14:paraId="00000009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Генподрядный договор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 генподрядном договоре указан адрес ООО «КиКГЕОСТРОЙ» </w:t>
      </w:r>
      <w:hyperlink r:id="rId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kikgeo.fin@gmail.com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Необходимо определить с какого адреса будет исходить переписка, у кого будет доступ к этой почте (потому что Влад отправляет со своего адреса, Женя Б. со своего)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firstLine="708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Думаю, надо будет уведомить Заказчика о появлении нового адреса для переписки с (например: «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Для оперативного взаимодействия при решении </w:t>
      </w:r>
      <w:r w:rsidDel="00000000" w:rsidR="00000000" w:rsidRPr="00000000">
        <w:rPr>
          <w:sz w:val="20"/>
          <w:szCs w:val="20"/>
          <w:rtl w:val="0"/>
        </w:rPr>
        <w:t xml:space="preserve">технических, финансовых и организационных вопросов в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 рамках реализации указанного проекта сообщаем Вам контактные данные ….»</w:t>
      </w:r>
      <w:r w:rsidDel="00000000" w:rsidR="00000000" w:rsidRPr="00000000">
        <w:rPr>
          <w:sz w:val="20"/>
          <w:szCs w:val="20"/>
          <w:rtl w:val="0"/>
        </w:rPr>
        <w:t xml:space="preserve">).</w:t>
      </w:r>
    </w:p>
    <w:p w:rsidR="00000000" w:rsidDel="00000000" w:rsidP="00000000" w:rsidRDefault="00000000" w:rsidRPr="00000000" w14:paraId="00000010">
      <w:pPr>
        <w:spacing w:after="0" w:line="240" w:lineRule="auto"/>
        <w:ind w:firstLine="708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N.B.  Для ШЕЛЛРОККа тоже нужен общий адрес</w:t>
      </w:r>
    </w:p>
    <w:p w:rsidR="00000000" w:rsidDel="00000000" w:rsidP="00000000" w:rsidRDefault="00000000" w:rsidRPr="00000000" w14:paraId="00000012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Исходящие письма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Оформленное на бланке и подписанное уполномоченным лицом исходящее письмо регистрируется в реестре исходящих писем. В реестр вносится следующая информация: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исходящий номер (может быть просто числовым (1, 2, 3, …..) или содержать буквенный индекс, на ваше усмотрение, как удобно)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дата регистрации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наименование организации (куда адресовано)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кому (должность, Ф.И.О.)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e-mail, на который отправляется письмо (адресов может быть несколько)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краткое содержание письма (о чем)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исполнитель письма (кто подготовил письмо, обычно указывается в нижнем левом углу бланка)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e-mail, с которого отправлено письмо.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Письма в МВМ отправляются на конкретные адреса, с обязательным включением в рассылку общего адреса МВМ </w:t>
      </w:r>
      <w:hyperlink r:id="rId8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info@metrowagonmash.ru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чтобы письмо прошло регистрацию в канцелярии МВМ.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Кроме этого, согласно п.13.7 Договора генподряда: вся корреспонденция, направляемая со Стороны Генерального подрядчика, в адрес Заказчика должна одновременно дублироваться также и в адрес Технического заказчика, а вся корреспонденция, направляемая со Стороны Генерального подрядчика, в адрес Технического заказчика должна одновременно дублироваться также и в адрес Заказчика.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Поэтому не забывайте включать в рассылку и адрес Технического заказчика. Контактные данные Технического заказчика вам должен дать Заказчик.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Если вы отвечаете на какое-то письмо, то под исходящим номером в бланке указывают № и дату письма, на которое отвечаете: «На № _____ от _____»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 реестре исходящих в последнем столбце «Примечание» можно указывать: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 входящий регистрационный номер МВМ (его можно узнать, позвони</w:t>
      </w:r>
      <w:r w:rsidDel="00000000" w:rsidR="00000000" w:rsidRPr="00000000">
        <w:rPr>
          <w:sz w:val="20"/>
          <w:szCs w:val="20"/>
          <w:rtl w:val="0"/>
        </w:rPr>
        <w:t xml:space="preserve">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к ним в канцелярию, телефон из договора - 8 (498) 687-45-55),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можно указать ссылку на поступивший ответ,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прочую информацию на ваше усмотрение.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Отправленное письмо сканируется и сохраняется в папку</w:t>
      </w:r>
      <w:r w:rsidDel="00000000" w:rsidR="00000000" w:rsidRPr="00000000">
        <w:rPr>
          <w:sz w:val="20"/>
          <w:szCs w:val="20"/>
          <w:rtl w:val="0"/>
        </w:rPr>
        <w:t xml:space="preserve"> 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исходящие письма</w:t>
      </w:r>
      <w:r w:rsidDel="00000000" w:rsidR="00000000" w:rsidRPr="00000000">
        <w:rPr>
          <w:sz w:val="20"/>
          <w:szCs w:val="20"/>
          <w:rtl w:val="0"/>
        </w:rPr>
        <w:t xml:space="preserve">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Имя файла можно начинать с даты в формате ГГГГ-ММ-ДД  (файлы будут выстраиваться в хронологическом порядке),  или с регистрационного номера (тогда файлы будут выстраиваться по порядковому номеру).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 столбце с исходящим номером в реестре исходящих писем к указанному номеру привязывается ссылка на сохраненный скан письма.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Аналогично, если в реестр исходящих писем в столбце «примечание» вносится информация об ответе, поступившего на исходящее письмо, то можно для удобства так же привязать ссылку на файл ответа. </w:t>
      </w:r>
    </w:p>
    <w:p w:rsidR="00000000" w:rsidDel="00000000" w:rsidP="00000000" w:rsidRDefault="00000000" w:rsidRPr="00000000" w14:paraId="0000002F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Входящие письма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Поступающие письма проходят регистрацию в реестре входящих, в который вносится информация: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наш регистрационный входящий номер (может быть просто числовым (1, 2, 3, …..) или содержать буквенный индекс, на ваше усмотрение, как удобно)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дата регистрации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исходящий номер и дата отправителя (как правило, указывается в верхнем левом поле бланка письма)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наименование организации, откуда поступило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краткое содержание письма (о чем)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 столбец «примечание» вносится прочая информация,  можно добавить еще какие-то столбцы по мере необхо</w:t>
      </w:r>
      <w:r w:rsidDel="00000000" w:rsidR="00000000" w:rsidRPr="00000000">
        <w:rPr>
          <w:sz w:val="20"/>
          <w:szCs w:val="20"/>
          <w:rtl w:val="0"/>
        </w:rPr>
        <w:t xml:space="preserve">димости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Как и с реестром исходящих писем, в реестре входящих можно делать пометку и ссылку на отправленный с нашей стороны ответ (т.е. ссылка на исходящее письмо).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А если входящее письмо является ответом на наше исходящее, то в реестре исходящих сделать соответствующую отметку о поступившем ответе.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Если бы у нас была система ЭДО, то она бы автоматически выстраивала так называемое «дерево переписки», но в нашем случае приходится делать это  вручную путем привязки ссылок на файлы.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Скан входящего письма сохраняется в папку «входящие письма». В случае с входящими письмами, думаю, удобнее будет именовать файлы, начиная с даты в формате ГГГГ-ММ-ДД  (файлы будут выстраиваться в хронологическом порядке),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Входящее письмо рассылается на емэйлы руководителю проекта и иным заинтересованным лицам в зависимости от тематики поступившего письма.</w:t>
      </w:r>
    </w:p>
    <w:p w:rsidR="00000000" w:rsidDel="00000000" w:rsidP="00000000" w:rsidRDefault="00000000" w:rsidRPr="00000000" w14:paraId="00000041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ПРОТОКОЛЫ СОВЕЩАНИЙ: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Отдельный реестр на протоколы не заводила, формально это считается входящим письмом.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 ваше усмотрение - можете протоколы сохранять в отдельную папку.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Удобнее будет именовать файлы, начиная с даты в формате ГГГГ-ММ-ДД  (файлы будут выстраиваться в хронологическом порядке),</w:t>
      </w:r>
    </w:p>
    <w:p w:rsidR="00000000" w:rsidDel="00000000" w:rsidP="00000000" w:rsidRDefault="00000000" w:rsidRPr="00000000" w14:paraId="00000046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ПРИКАЗЫ: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 реестр приказов вы можете вносить приказы по ОТ, ТБ, о назначении  ответственных по проекту.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Скан приказа сохраняется в соответствующей папке «Приказы», к реестру (столбец с номером приказа) привязывается ссылка на файл.</w:t>
      </w:r>
    </w:p>
    <w:p w:rsidR="00000000" w:rsidDel="00000000" w:rsidP="00000000" w:rsidRDefault="00000000" w:rsidRPr="00000000" w14:paraId="0000004A">
      <w:pPr>
        <w:spacing w:after="0" w:line="240" w:lineRule="auto"/>
        <w:ind w:left="36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ДОВЕРЕННОСТИ: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Завела реестр и папку на случай возникновения таких документов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 реестр вносится информация по доверенности.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Скан доверенности сохраняется в соответствующей папке «Доверенности», к реестру (столбец с номером доверенности) привязывается ссылка на файл.</w:t>
      </w:r>
    </w:p>
    <w:p w:rsidR="00000000" w:rsidDel="00000000" w:rsidP="00000000" w:rsidRDefault="00000000" w:rsidRPr="00000000" w14:paraId="0000004F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СЛУЖЕБНЫЕ ЗАПИСКИ: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Завела реестр и папку на случай возникновения таких документов от работников команды.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 реестр вносится информация по служебной записке.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Скан СЗ сохраняется в соответствующей папке «Служебные записки», к реестру (столбец с номером) привязывается ссылка на файл.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СЗ направляется на рассмотрение лицу, которому она адресована.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И еще немного информации из генподрядного договора в части оформления и отправки </w:t>
      </w:r>
      <w:r w:rsidDel="00000000" w:rsidR="00000000" w:rsidRPr="00000000">
        <w:rPr>
          <w:b w:val="1"/>
          <w:sz w:val="20"/>
          <w:szCs w:val="20"/>
          <w:rtl w:val="0"/>
        </w:rPr>
        <w:t xml:space="preserve">ответов в адрес Заказчика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spacing w:after="0"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after="0" w:line="240" w:lineRule="auto"/>
        <w:rPr>
          <w:b w:val="1"/>
          <w:sz w:val="20"/>
          <w:szCs w:val="20"/>
          <w:u w:val="single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Согласно п.13.6 и 13.5: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13.6 Для обеспечения соблюдения сроков исполнения принятых на себя обязательств, а также для своевременного решения возникающих в ходе исполнения таких обязательств вопросов, стороны вправе обмениваться касающейся настоящего договора корреспонденцией посредством факсимильной связи или электронной почты. При этом в случае какого-либо судебного разбирательства надлежащим направлением корреспонденции, за исключением случаев, предусмотренных отдельными пунктами Договора, будет ее направление в порядке, предусмотренном п.  13.5 Договора: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13.5 Корреспонденция может быть направлена по электронной почте по адресам, указанным в разделе 17 настоящего Договора. Направленная по электронной почте корреспонденция является обязательной для сторон и имеет силу официальной переписки, равную силе корреспонденции на бумажном носителе Направленная по электронной почте корреспонденция  может быть продублирована (но не обязательно) на бумажном носителе (направлена курьером и вручена под роспись, а в случае невозможности вручить корреспонденцию на бумажном носителе таким способом, в т.ч. в случае отказа и/или уклонения адресата от получения, корреспонденция направляется в виде заказного письма с уведомлением и описью вложения по адресу, указанному в разделе 17 настоящего Договора в качестве адреса для направления корреспонденции (почтового адреса)). Датой отправления корреспонденции является дата направления корреспонденции в электронном виде.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after="0" w:line="24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Согласно п.10.6., 10.6.1, 10.6.2.:</w:t>
      </w:r>
    </w:p>
    <w:p w:rsidR="00000000" w:rsidDel="00000000" w:rsidP="00000000" w:rsidRDefault="00000000" w:rsidRPr="00000000" w14:paraId="00000060">
      <w:pPr>
        <w:keepNext w:val="1"/>
        <w:widowControl w:val="0"/>
        <w:tabs>
          <w:tab w:val="left" w:leader="none" w:pos="1134"/>
        </w:tabs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Для подтверждения фактов нарушений Договора представитель Заказчика составляет письменный акт (далее - Акт) с указанием существа нарушения. Заказчик вправе приложить к Акту фотоматериалы, подтверждающие нарушение. Указанный Акт подписывается представителем Заказчика с указанием должности представителя Заказчика. Указанный Акт направляется Генеральному подрядчику для подписания. Акт подписывается представителем Генерального подрядчика и является основанием для предъявления требования об уплате штрафов/пени/неустоек, предусмотренных Договором. В случае, если Генеральный подрядчик уклоняется от подписания Акта, Акт подписывается Заказчиком с отметкой об отказе Генерального подрядчика от подписания Акта и является основанием для предъявления требования об уплате штрафов/пени/неустоек, предусмотренных Договором.</w:t>
      </w:r>
    </w:p>
    <w:p w:rsidR="00000000" w:rsidDel="00000000" w:rsidP="00000000" w:rsidRDefault="00000000" w:rsidRPr="00000000" w14:paraId="00000061">
      <w:pPr>
        <w:widowControl w:val="0"/>
        <w:spacing w:after="0" w:line="240" w:lineRule="auto"/>
        <w:ind w:left="567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При этом Акт будет считаться полученным Генеральным подрядчиком:</w:t>
      </w:r>
    </w:p>
    <w:p w:rsidR="00000000" w:rsidDel="00000000" w:rsidP="00000000" w:rsidRDefault="00000000" w:rsidRPr="00000000" w14:paraId="00000062">
      <w:pPr>
        <w:widowControl w:val="0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незамедлительно при направлении Акта посредством электронной почты по адресу, указанному в разделе 17 настоящего Договора или при вручении Акта представителю Генерального подрядчика, в том числе с помощью курьеров;</w:t>
      </w:r>
    </w:p>
    <w:p w:rsidR="00000000" w:rsidDel="00000000" w:rsidP="00000000" w:rsidRDefault="00000000" w:rsidRPr="00000000" w14:paraId="00000063">
      <w:pPr>
        <w:widowControl w:val="0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по истечении 12 (двенадцать) календарных дней с даты вручения соответствующего почтового отправления предприятию связи (отделению ФГУП «Почта России), при отправке Акта ценным письмом с описью вложения и уведомлением о вручении;</w:t>
      </w:r>
    </w:p>
    <w:p w:rsidR="00000000" w:rsidDel="00000000" w:rsidP="00000000" w:rsidRDefault="00000000" w:rsidRPr="00000000" w14:paraId="00000064">
      <w:pPr>
        <w:widowControl w:val="0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по истечении 3 (трех) рабочих дней с даты вручения соответствующего почтового отправления почтовому оператору, предоставляющему почтово-курьерские услуги при отправке Акта с использованием услуги по ускоренной доставке почтового отправления (экспресс-почта). </w:t>
      </w:r>
    </w:p>
    <w:p w:rsidR="00000000" w:rsidDel="00000000" w:rsidP="00000000" w:rsidRDefault="00000000" w:rsidRPr="00000000" w14:paraId="00000065">
      <w:pPr>
        <w:widowControl w:val="0"/>
        <w:spacing w:after="0" w:line="240" w:lineRule="auto"/>
        <w:ind w:left="567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Под уклонением Генерального подрядчика от подписания Акта Стороны понимают следующие действия Генерального подрядчика:</w:t>
      </w:r>
    </w:p>
    <w:p w:rsidR="00000000" w:rsidDel="00000000" w:rsidP="00000000" w:rsidRDefault="00000000" w:rsidRPr="00000000" w14:paraId="00000066">
      <w:pPr>
        <w:widowControl w:val="0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отказ Генерального подрядчика от подписания Акта без представления письменного мотивированного возражения на Акт/непредставление мотивированного возражения на Акт в течение 24 (двадцати четырех) часов с момента получения Акта Генеральным подрядчиком. </w:t>
      </w:r>
    </w:p>
    <w:p w:rsidR="00000000" w:rsidDel="00000000" w:rsidP="00000000" w:rsidRDefault="00000000" w:rsidRPr="00000000" w14:paraId="00000067">
      <w:pPr>
        <w:widowControl w:val="0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предоставление Генеральным подрядчиком письменного возражения, которое не соответствует требованиям, предусмотренным для Мотивированного возражения согласно п. 10.6.1. настоящего Договора.</w:t>
      </w:r>
    </w:p>
    <w:p w:rsidR="00000000" w:rsidDel="00000000" w:rsidP="00000000" w:rsidRDefault="00000000" w:rsidRPr="00000000" w14:paraId="00000068">
      <w:pPr>
        <w:widowControl w:val="0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неприбытие представителя Генерального подрядчика для получения/подписания Акта в срок, указанный в соответствующем Уведомлении;</w:t>
      </w:r>
    </w:p>
    <w:p w:rsidR="00000000" w:rsidDel="00000000" w:rsidP="00000000" w:rsidRDefault="00000000" w:rsidRPr="00000000" w14:paraId="00000069">
      <w:pPr>
        <w:widowControl w:val="0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отказ от получения Акта, направленного с помощью курьера по адресу Генерального подрядчика, указанному в разделе 17 настоящего Договора. В случае указания в разделе 17 настоящего Договора юридического и почтового адресов Генерального подрядчика, Акт направляется по почтовому адресу.</w:t>
      </w:r>
    </w:p>
    <w:p w:rsidR="00000000" w:rsidDel="00000000" w:rsidP="00000000" w:rsidRDefault="00000000" w:rsidRPr="00000000" w14:paraId="0000006A">
      <w:pPr>
        <w:widowControl w:val="0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неполучение Акта, направленного посредством ФГУП «Почта России», в течение 12 (двенадцать) календарных дней с даты поступления почтового отправления в почтовое отделение, обслуживающее адрес Генерального подрядчика, указанный в разделе 17 настоящего Договора. В случае указания в разделе 17 настоящего Договора юридического и почтового адресов Генерального подрядчика, Акт направляется по почтовому адресу.</w:t>
      </w:r>
    </w:p>
    <w:p w:rsidR="00000000" w:rsidDel="00000000" w:rsidP="00000000" w:rsidRDefault="00000000" w:rsidRPr="00000000" w14:paraId="0000006B">
      <w:pPr>
        <w:widowControl w:val="0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иные недобросовестные действия/бездействия Генерального подрядчика, которые можно, безусловно, характеризовать как уклонение Генерального подрядчика от подписания Акта.</w:t>
      </w:r>
    </w:p>
    <w:p w:rsidR="00000000" w:rsidDel="00000000" w:rsidP="00000000" w:rsidRDefault="00000000" w:rsidRPr="00000000" w14:paraId="0000006C">
      <w:pPr>
        <w:keepNext w:val="1"/>
        <w:widowControl w:val="0"/>
        <w:spacing w:after="0" w:line="240" w:lineRule="auto"/>
        <w:ind w:firstLine="567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1"/>
        <w:widowControl w:val="0"/>
        <w:spacing w:after="0" w:line="240" w:lineRule="auto"/>
        <w:ind w:firstLine="56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Стороны настоящим предусмотрели, что мотивированным возражением на Акт является письменный документ, подписанный уполномоченным представителем Генерального подрядчика, в котором Генеральный подрядчик должен изложить свои возражения со ссылками на соответствующие пункты Договора, Приложения к нему,  Рабочую документацию, законодательство Российской Федерации. К мотивированному возражению на Акт должны быть приложены документы - доказательства, подтверждающие отсутствие вины Генерального подрядчика, а именно: </w:t>
      </w:r>
    </w:p>
    <w:p w:rsidR="00000000" w:rsidDel="00000000" w:rsidP="00000000" w:rsidRDefault="00000000" w:rsidRPr="00000000" w14:paraId="0000006E">
      <w:pPr>
        <w:widowControl w:val="0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документы, подтверждающие наступление обстоятельств непреодолимой силы в соответствии с п.8.2 Договора; </w:t>
      </w:r>
    </w:p>
    <w:p w:rsidR="00000000" w:rsidDel="00000000" w:rsidP="00000000" w:rsidRDefault="00000000" w:rsidRPr="00000000" w14:paraId="0000006F">
      <w:pPr>
        <w:widowControl w:val="0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документы, подтверждающие надлежащее качество выполненных работ, поставленных материалов.</w:t>
      </w:r>
    </w:p>
    <w:p w:rsidR="00000000" w:rsidDel="00000000" w:rsidP="00000000" w:rsidRDefault="00000000" w:rsidRPr="00000000" w14:paraId="00000070">
      <w:pPr>
        <w:widowControl w:val="0"/>
        <w:numPr>
          <w:ilvl w:val="0"/>
          <w:numId w:val="4"/>
        </w:numPr>
        <w:spacing w:after="0" w:line="240" w:lineRule="auto"/>
        <w:ind w:left="567" w:hanging="56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документы, подтверждающие надлежащее выполнение Генеральным подрядчиком обязательств по Договору, а именно: ежедневные/еженедельные Отчеты, Акты КС-2, подписанные Заказчиком. </w:t>
      </w:r>
    </w:p>
    <w:p w:rsidR="00000000" w:rsidDel="00000000" w:rsidP="00000000" w:rsidRDefault="00000000" w:rsidRPr="00000000" w14:paraId="00000071">
      <w:pPr>
        <w:widowControl w:val="0"/>
        <w:spacing w:after="0" w:line="240" w:lineRule="auto"/>
        <w:ind w:left="567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Мотивированное возражение на Акт должно быть передано Генеральным подрядчиком представителю Заказчика в течение 5 (пяти) дней с момента получения Акта Генеральным подрядчиком. Мотивированное возражение Генерального подрядчика на Акт может быть направлено Заказчику ценным письмом с описью вложения и уведомлением о вручении, при условии соблюдения порядка, предусмотренного п. 10.6.2. настоящего Договора. </w:t>
      </w:r>
    </w:p>
    <w:p w:rsidR="00000000" w:rsidDel="00000000" w:rsidP="00000000" w:rsidRDefault="00000000" w:rsidRPr="00000000" w14:paraId="00000072">
      <w:pPr>
        <w:widowControl w:val="0"/>
        <w:spacing w:after="0" w:line="240" w:lineRule="auto"/>
        <w:ind w:firstLine="567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widowControl w:val="0"/>
        <w:spacing w:after="0" w:line="240" w:lineRule="auto"/>
        <w:ind w:firstLine="567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В случае направления мотивированного возражения ценным письмом с описью вложения и уведомлением о вручении посредством ФГУП «Почты России», Генеральный подрядчик извещает Заказчика с помощью телефонной или электронной связи о направлении мотивированного возражения посредством почтового отправления, с указанием кода почтового идентификатора соответствующего почтового отправления.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240" w:lineRule="auto"/>
      <w:ind w:left="432" w:hanging="432"/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widowControl w:val="0"/>
      <w:tabs>
        <w:tab w:val="left" w:leader="none" w:pos="1134"/>
      </w:tabs>
      <w:spacing w:after="60" w:before="240" w:line="240" w:lineRule="auto"/>
      <w:ind w:left="0" w:firstLine="567"/>
      <w:jc w:val="both"/>
    </w:pPr>
    <w:rPr>
      <w:rFonts w:ascii="Times New Roman" w:cs="Times New Roman" w:eastAsia="Times New Roman" w:hAnsi="Times New Roman"/>
      <w:sz w:val="24"/>
      <w:szCs w:val="24"/>
    </w:rPr>
  </w:style>
  <w:style w:type="paragraph" w:styleId="Heading3">
    <w:name w:val="heading 3"/>
    <w:basedOn w:val="Normal"/>
    <w:next w:val="Normal"/>
    <w:pPr>
      <w:keepNext w:val="1"/>
      <w:widowControl w:val="0"/>
      <w:spacing w:after="60" w:before="240" w:line="240" w:lineRule="auto"/>
      <w:ind w:left="851" w:hanging="284"/>
      <w:jc w:val="both"/>
    </w:pPr>
    <w:rPr>
      <w:rFonts w:ascii="Times New Roman" w:cs="Times New Roman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pPr>
      <w:keepNext w:val="1"/>
      <w:widowControl w:val="0"/>
      <w:spacing w:after="60" w:before="240" w:line="240" w:lineRule="auto"/>
      <w:ind w:left="864" w:firstLine="270"/>
      <w:jc w:val="both"/>
    </w:pPr>
    <w:rPr>
      <w:rFonts w:ascii="Times New Roman" w:cs="Times New Roman" w:eastAsia="Times New Roman" w:hAnsi="Times New Roman"/>
      <w:sz w:val="24"/>
      <w:szCs w:val="24"/>
    </w:rPr>
  </w:style>
  <w:style w:type="paragraph" w:styleId="Heading5">
    <w:name w:val="heading 5"/>
    <w:basedOn w:val="Normal"/>
    <w:next w:val="Normal"/>
    <w:pPr>
      <w:widowControl w:val="0"/>
      <w:spacing w:after="60" w:before="240" w:line="240" w:lineRule="auto"/>
      <w:ind w:left="1008" w:hanging="1008"/>
      <w:jc w:val="both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widowControl w:val="0"/>
      <w:spacing w:after="60" w:before="240" w:line="240" w:lineRule="auto"/>
      <w:ind w:left="1152" w:hanging="1152"/>
      <w:jc w:val="both"/>
    </w:pPr>
    <w:rPr>
      <w:rFonts w:ascii="Calibri" w:cs="Calibri" w:eastAsia="Calibri" w:hAnsi="Calibri"/>
      <w:b w:val="1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link w:val="10"/>
    <w:qFormat w:val="1"/>
    <w:rsid w:val="00F709CE"/>
    <w:pPr>
      <w:keepNext w:val="1"/>
      <w:numPr>
        <w:numId w:val="4"/>
      </w:numPr>
      <w:spacing w:after="0" w:line="240" w:lineRule="auto"/>
      <w:jc w:val="center"/>
      <w:outlineLvl w:val="0"/>
    </w:pPr>
    <w:rPr>
      <w:rFonts w:ascii="Times New Roman" w:cs="Times New Roman" w:eastAsia="Times New Roman" w:hAnsi="Times New Roman"/>
      <w:b w:val="1"/>
      <w:bCs w:val="1"/>
      <w:sz w:val="28"/>
      <w:szCs w:val="24"/>
      <w:lang w:eastAsia="ru-RU"/>
    </w:rPr>
  </w:style>
  <w:style w:type="paragraph" w:styleId="2">
    <w:name w:val="heading 2"/>
    <w:basedOn w:val="a"/>
    <w:next w:val="a"/>
    <w:link w:val="20"/>
    <w:unhideWhenUsed w:val="1"/>
    <w:qFormat w:val="1"/>
    <w:rsid w:val="00F709CE"/>
    <w:pPr>
      <w:keepNext w:val="1"/>
      <w:widowControl w:val="0"/>
      <w:numPr>
        <w:ilvl w:val="1"/>
        <w:numId w:val="4"/>
      </w:numPr>
      <w:tabs>
        <w:tab w:val="left" w:pos="1134"/>
      </w:tabs>
      <w:autoSpaceDE w:val="0"/>
      <w:autoSpaceDN w:val="0"/>
      <w:adjustRightInd w:val="0"/>
      <w:spacing w:after="60" w:before="240" w:line="240" w:lineRule="auto"/>
      <w:ind w:left="0" w:firstLine="567"/>
      <w:jc w:val="both"/>
      <w:outlineLvl w:val="1"/>
    </w:pPr>
    <w:rPr>
      <w:rFonts w:ascii="Times New Roman" w:cs="Times New Roman" w:eastAsia="Times New Roman" w:hAnsi="Times New Roman"/>
      <w:bCs w:val="1"/>
      <w:iCs w:val="1"/>
      <w:sz w:val="24"/>
      <w:szCs w:val="28"/>
      <w:lang w:eastAsia="ru-RU"/>
    </w:rPr>
  </w:style>
  <w:style w:type="paragraph" w:styleId="3">
    <w:name w:val="heading 3"/>
    <w:basedOn w:val="a"/>
    <w:next w:val="a"/>
    <w:link w:val="30"/>
    <w:unhideWhenUsed w:val="1"/>
    <w:qFormat w:val="1"/>
    <w:rsid w:val="00F709CE"/>
    <w:pPr>
      <w:keepNext w:val="1"/>
      <w:widowControl w:val="0"/>
      <w:numPr>
        <w:ilvl w:val="2"/>
        <w:numId w:val="4"/>
      </w:numPr>
      <w:autoSpaceDE w:val="0"/>
      <w:autoSpaceDN w:val="0"/>
      <w:adjustRightInd w:val="0"/>
      <w:spacing w:after="60" w:before="240" w:line="240" w:lineRule="auto"/>
      <w:ind w:left="851" w:hanging="284"/>
      <w:jc w:val="both"/>
      <w:outlineLvl w:val="2"/>
    </w:pPr>
    <w:rPr>
      <w:rFonts w:ascii="Times New Roman" w:cs="Times New Roman" w:eastAsia="Times New Roman" w:hAnsi="Times New Roman"/>
      <w:bCs w:val="1"/>
      <w:sz w:val="24"/>
      <w:szCs w:val="26"/>
      <w:lang w:eastAsia="ru-RU"/>
    </w:rPr>
  </w:style>
  <w:style w:type="paragraph" w:styleId="4">
    <w:name w:val="heading 4"/>
    <w:basedOn w:val="a"/>
    <w:next w:val="a"/>
    <w:link w:val="40"/>
    <w:unhideWhenUsed w:val="1"/>
    <w:qFormat w:val="1"/>
    <w:rsid w:val="00F709CE"/>
    <w:pPr>
      <w:keepNext w:val="1"/>
      <w:widowControl w:val="0"/>
      <w:numPr>
        <w:ilvl w:val="3"/>
        <w:numId w:val="4"/>
      </w:numPr>
      <w:autoSpaceDE w:val="0"/>
      <w:autoSpaceDN w:val="0"/>
      <w:adjustRightInd w:val="0"/>
      <w:spacing w:after="60" w:before="240" w:line="240" w:lineRule="auto"/>
      <w:ind w:firstLine="270"/>
      <w:jc w:val="both"/>
      <w:outlineLvl w:val="3"/>
    </w:pPr>
    <w:rPr>
      <w:rFonts w:ascii="Times New Roman" w:cs="Times New Roman" w:eastAsia="Times New Roman" w:hAnsi="Times New Roman"/>
      <w:bCs w:val="1"/>
      <w:sz w:val="24"/>
      <w:szCs w:val="28"/>
      <w:lang w:eastAsia="ru-RU"/>
    </w:rPr>
  </w:style>
  <w:style w:type="paragraph" w:styleId="5">
    <w:name w:val="heading 5"/>
    <w:basedOn w:val="a"/>
    <w:next w:val="a"/>
    <w:link w:val="50"/>
    <w:semiHidden w:val="1"/>
    <w:unhideWhenUsed w:val="1"/>
    <w:qFormat w:val="1"/>
    <w:rsid w:val="00F709CE"/>
    <w:pPr>
      <w:widowControl w:val="0"/>
      <w:numPr>
        <w:ilvl w:val="4"/>
        <w:numId w:val="4"/>
      </w:numPr>
      <w:autoSpaceDE w:val="0"/>
      <w:autoSpaceDN w:val="0"/>
      <w:adjustRightInd w:val="0"/>
      <w:spacing w:after="60" w:before="240" w:line="240" w:lineRule="auto"/>
      <w:jc w:val="both"/>
      <w:outlineLvl w:val="4"/>
    </w:pPr>
    <w:rPr>
      <w:rFonts w:ascii="Calibri" w:cs="Times New Roman" w:eastAsia="Times New Roman" w:hAnsi="Calibri"/>
      <w:b w:val="1"/>
      <w:bCs w:val="1"/>
      <w:i w:val="1"/>
      <w:iCs w:val="1"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 w:val="1"/>
    <w:unhideWhenUsed w:val="1"/>
    <w:qFormat w:val="1"/>
    <w:rsid w:val="00F709CE"/>
    <w:pPr>
      <w:widowControl w:val="0"/>
      <w:numPr>
        <w:ilvl w:val="5"/>
        <w:numId w:val="4"/>
      </w:numPr>
      <w:autoSpaceDE w:val="0"/>
      <w:autoSpaceDN w:val="0"/>
      <w:adjustRightInd w:val="0"/>
      <w:spacing w:after="60" w:before="240" w:line="240" w:lineRule="auto"/>
      <w:jc w:val="both"/>
      <w:outlineLvl w:val="5"/>
    </w:pPr>
    <w:rPr>
      <w:rFonts w:ascii="Calibri" w:cs="Times New Roman" w:eastAsia="Times New Roman" w:hAnsi="Calibri"/>
      <w:b w:val="1"/>
      <w:bCs w:val="1"/>
      <w:lang w:eastAsia="ru-RU"/>
    </w:rPr>
  </w:style>
  <w:style w:type="paragraph" w:styleId="7">
    <w:name w:val="heading 7"/>
    <w:basedOn w:val="a"/>
    <w:next w:val="a"/>
    <w:link w:val="70"/>
    <w:semiHidden w:val="1"/>
    <w:unhideWhenUsed w:val="1"/>
    <w:qFormat w:val="1"/>
    <w:rsid w:val="00F709CE"/>
    <w:pPr>
      <w:widowControl w:val="0"/>
      <w:numPr>
        <w:ilvl w:val="6"/>
        <w:numId w:val="4"/>
      </w:numPr>
      <w:autoSpaceDE w:val="0"/>
      <w:autoSpaceDN w:val="0"/>
      <w:adjustRightInd w:val="0"/>
      <w:spacing w:after="60" w:before="240" w:line="240" w:lineRule="auto"/>
      <w:jc w:val="both"/>
      <w:outlineLvl w:val="6"/>
    </w:pPr>
    <w:rPr>
      <w:rFonts w:ascii="Calibri" w:cs="Times New Roman" w:eastAsia="Times New Roman" w:hAnsi="Calibri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 w:val="1"/>
    <w:unhideWhenUsed w:val="1"/>
    <w:qFormat w:val="1"/>
    <w:rsid w:val="00F709CE"/>
    <w:pPr>
      <w:widowControl w:val="0"/>
      <w:numPr>
        <w:ilvl w:val="7"/>
        <w:numId w:val="4"/>
      </w:numPr>
      <w:autoSpaceDE w:val="0"/>
      <w:autoSpaceDN w:val="0"/>
      <w:adjustRightInd w:val="0"/>
      <w:spacing w:after="60" w:before="240" w:line="240" w:lineRule="auto"/>
      <w:jc w:val="both"/>
      <w:outlineLvl w:val="7"/>
    </w:pPr>
    <w:rPr>
      <w:rFonts w:ascii="Calibri" w:cs="Times New Roman" w:eastAsia="Times New Roman" w:hAnsi="Calibri"/>
      <w:i w:val="1"/>
      <w:iCs w:val="1"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 w:val="1"/>
    <w:unhideWhenUsed w:val="1"/>
    <w:qFormat w:val="1"/>
    <w:rsid w:val="00F709CE"/>
    <w:pPr>
      <w:widowControl w:val="0"/>
      <w:numPr>
        <w:ilvl w:val="8"/>
        <w:numId w:val="4"/>
      </w:numPr>
      <w:autoSpaceDE w:val="0"/>
      <w:autoSpaceDN w:val="0"/>
      <w:adjustRightInd w:val="0"/>
      <w:spacing w:after="60" w:before="240" w:line="240" w:lineRule="auto"/>
      <w:jc w:val="both"/>
      <w:outlineLvl w:val="8"/>
    </w:pPr>
    <w:rPr>
      <w:rFonts w:ascii="Cambria" w:cs="Times New Roman" w:eastAsia="Times New Roman" w:hAnsi="Cambria"/>
      <w:lang w:eastAsia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0F525F"/>
    <w:pPr>
      <w:ind w:left="720"/>
      <w:contextualSpacing w:val="1"/>
    </w:pPr>
  </w:style>
  <w:style w:type="character" w:styleId="a4">
    <w:name w:val="Hyperlink"/>
    <w:uiPriority w:val="99"/>
    <w:unhideWhenUsed w:val="1"/>
    <w:rsid w:val="000F525F"/>
    <w:rPr>
      <w:color w:val="0000ff"/>
      <w:u w:val="single"/>
    </w:rPr>
  </w:style>
  <w:style w:type="character" w:styleId="10" w:customStyle="1">
    <w:name w:val="Заголовок 1 Знак"/>
    <w:basedOn w:val="a0"/>
    <w:link w:val="1"/>
    <w:rsid w:val="00F709CE"/>
    <w:rPr>
      <w:rFonts w:ascii="Times New Roman" w:cs="Times New Roman" w:eastAsia="Times New Roman" w:hAnsi="Times New Roman"/>
      <w:b w:val="1"/>
      <w:bCs w:val="1"/>
      <w:sz w:val="28"/>
      <w:szCs w:val="24"/>
      <w:lang w:eastAsia="ru-RU"/>
    </w:rPr>
  </w:style>
  <w:style w:type="character" w:styleId="20" w:customStyle="1">
    <w:name w:val="Заголовок 2 Знак"/>
    <w:basedOn w:val="a0"/>
    <w:link w:val="2"/>
    <w:rsid w:val="00F709CE"/>
    <w:rPr>
      <w:rFonts w:ascii="Times New Roman" w:cs="Times New Roman" w:eastAsia="Times New Roman" w:hAnsi="Times New Roman"/>
      <w:bCs w:val="1"/>
      <w:iCs w:val="1"/>
      <w:sz w:val="24"/>
      <w:szCs w:val="28"/>
      <w:lang w:eastAsia="ru-RU"/>
    </w:rPr>
  </w:style>
  <w:style w:type="character" w:styleId="30" w:customStyle="1">
    <w:name w:val="Заголовок 3 Знак"/>
    <w:basedOn w:val="a0"/>
    <w:link w:val="3"/>
    <w:rsid w:val="00F709CE"/>
    <w:rPr>
      <w:rFonts w:ascii="Times New Roman" w:cs="Times New Roman" w:eastAsia="Times New Roman" w:hAnsi="Times New Roman"/>
      <w:bCs w:val="1"/>
      <w:sz w:val="24"/>
      <w:szCs w:val="26"/>
      <w:lang w:eastAsia="ru-RU"/>
    </w:rPr>
  </w:style>
  <w:style w:type="character" w:styleId="40" w:customStyle="1">
    <w:name w:val="Заголовок 4 Знак"/>
    <w:basedOn w:val="a0"/>
    <w:link w:val="4"/>
    <w:rsid w:val="00F709CE"/>
    <w:rPr>
      <w:rFonts w:ascii="Times New Roman" w:cs="Times New Roman" w:eastAsia="Times New Roman" w:hAnsi="Times New Roman"/>
      <w:bCs w:val="1"/>
      <w:sz w:val="24"/>
      <w:szCs w:val="28"/>
      <w:lang w:eastAsia="ru-RU"/>
    </w:rPr>
  </w:style>
  <w:style w:type="character" w:styleId="50" w:customStyle="1">
    <w:name w:val="Заголовок 5 Знак"/>
    <w:basedOn w:val="a0"/>
    <w:link w:val="5"/>
    <w:semiHidden w:val="1"/>
    <w:rsid w:val="00F709CE"/>
    <w:rPr>
      <w:rFonts w:ascii="Calibri" w:cs="Times New Roman" w:eastAsia="Times New Roman" w:hAnsi="Calibri"/>
      <w:b w:val="1"/>
      <w:bCs w:val="1"/>
      <w:i w:val="1"/>
      <w:iCs w:val="1"/>
      <w:sz w:val="26"/>
      <w:szCs w:val="26"/>
      <w:lang w:eastAsia="ru-RU"/>
    </w:rPr>
  </w:style>
  <w:style w:type="character" w:styleId="60" w:customStyle="1">
    <w:name w:val="Заголовок 6 Знак"/>
    <w:basedOn w:val="a0"/>
    <w:link w:val="6"/>
    <w:semiHidden w:val="1"/>
    <w:rsid w:val="00F709CE"/>
    <w:rPr>
      <w:rFonts w:ascii="Calibri" w:cs="Times New Roman" w:eastAsia="Times New Roman" w:hAnsi="Calibri"/>
      <w:b w:val="1"/>
      <w:bCs w:val="1"/>
      <w:lang w:eastAsia="ru-RU"/>
    </w:rPr>
  </w:style>
  <w:style w:type="character" w:styleId="70" w:customStyle="1">
    <w:name w:val="Заголовок 7 Знак"/>
    <w:basedOn w:val="a0"/>
    <w:link w:val="7"/>
    <w:semiHidden w:val="1"/>
    <w:rsid w:val="00F709CE"/>
    <w:rPr>
      <w:rFonts w:ascii="Calibri" w:cs="Times New Roman" w:eastAsia="Times New Roman" w:hAnsi="Calibri"/>
      <w:sz w:val="24"/>
      <w:szCs w:val="24"/>
      <w:lang w:eastAsia="ru-RU"/>
    </w:rPr>
  </w:style>
  <w:style w:type="character" w:styleId="80" w:customStyle="1">
    <w:name w:val="Заголовок 8 Знак"/>
    <w:basedOn w:val="a0"/>
    <w:link w:val="8"/>
    <w:semiHidden w:val="1"/>
    <w:rsid w:val="00F709CE"/>
    <w:rPr>
      <w:rFonts w:ascii="Calibri" w:cs="Times New Roman" w:eastAsia="Times New Roman" w:hAnsi="Calibri"/>
      <w:i w:val="1"/>
      <w:iCs w:val="1"/>
      <w:sz w:val="24"/>
      <w:szCs w:val="24"/>
      <w:lang w:eastAsia="ru-RU"/>
    </w:rPr>
  </w:style>
  <w:style w:type="character" w:styleId="90" w:customStyle="1">
    <w:name w:val="Заголовок 9 Знак"/>
    <w:basedOn w:val="a0"/>
    <w:link w:val="9"/>
    <w:semiHidden w:val="1"/>
    <w:rsid w:val="00F709CE"/>
    <w:rPr>
      <w:rFonts w:ascii="Cambria" w:cs="Times New Roman" w:eastAsia="Times New Roman" w:hAnsi="Cambria"/>
      <w:lang w:eastAsia="ru-RU"/>
    </w:rPr>
  </w:style>
  <w:style w:type="character" w:styleId="a5">
    <w:name w:val="FollowedHyperlink"/>
    <w:basedOn w:val="a0"/>
    <w:uiPriority w:val="99"/>
    <w:semiHidden w:val="1"/>
    <w:unhideWhenUsed w:val="1"/>
    <w:rsid w:val="00AF025B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kikgeo.fin@gmail.com" TargetMode="External"/><Relationship Id="rId8" Type="http://schemas.openxmlformats.org/officeDocument/2006/relationships/hyperlink" Target="mailto:info@metrowagonmash.r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/NjU7S3IKFMUbR8LUWLEBfq4SA==">CgMxLjAyCGguZ2pkZ3hzOAByITE0a0tzN1NUNmpnUTdvbzhHWGZRMF8yMHFBSnJMM2l1Qg==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2023-07-26T09:12:00Z</dcterms:created>
  <dc:creator>Елена Филонова</dc:creator>
</cp:coreProperties>
</file>