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54C2C" w14:textId="77777777" w:rsidR="00740340" w:rsidRPr="00610D9E" w:rsidRDefault="00000000">
      <w:pPr>
        <w:rPr>
          <w:lang w:val="ru-RU"/>
        </w:rPr>
      </w:pPr>
      <w:r w:rsidRPr="00610D9E">
        <w:rPr>
          <w:lang w:val="ru-RU"/>
        </w:rPr>
        <w:t>ООО «АКСИОН РУС»</w:t>
      </w:r>
    </w:p>
    <w:p w14:paraId="1F3806A2" w14:textId="77777777" w:rsidR="00740340" w:rsidRPr="00610D9E" w:rsidRDefault="00000000">
      <w:pPr>
        <w:rPr>
          <w:lang w:val="ru-RU"/>
        </w:rPr>
      </w:pPr>
      <w:r w:rsidRPr="00610D9E">
        <w:rPr>
          <w:lang w:val="ru-RU"/>
        </w:rPr>
        <w:t>Исх. № ___ от «___» __________ 2025 г.</w:t>
      </w:r>
    </w:p>
    <w:p w14:paraId="436335BD" w14:textId="77777777" w:rsidR="00740340" w:rsidRPr="00610D9E" w:rsidRDefault="00000000">
      <w:pPr>
        <w:rPr>
          <w:lang w:val="ru-RU"/>
        </w:rPr>
      </w:pPr>
      <w:r w:rsidRPr="00610D9E">
        <w:rPr>
          <w:lang w:val="ru-RU"/>
        </w:rPr>
        <w:t>г. Москва</w:t>
      </w:r>
      <w:r w:rsidRPr="00610D9E">
        <w:rPr>
          <w:lang w:val="ru-RU"/>
        </w:rPr>
        <w:br/>
      </w:r>
    </w:p>
    <w:p w14:paraId="5011790A" w14:textId="77777777" w:rsidR="00740340" w:rsidRPr="00610D9E" w:rsidRDefault="00000000">
      <w:pPr>
        <w:rPr>
          <w:lang w:val="ru-RU"/>
        </w:rPr>
      </w:pPr>
      <w:r w:rsidRPr="00610D9E">
        <w:rPr>
          <w:lang w:val="ru-RU"/>
        </w:rPr>
        <w:t>Кому: ____________________________</w:t>
      </w:r>
    </w:p>
    <w:p w14:paraId="495D4541" w14:textId="77777777" w:rsidR="00740340" w:rsidRPr="00610D9E" w:rsidRDefault="00000000">
      <w:pPr>
        <w:rPr>
          <w:lang w:val="ru-RU"/>
        </w:rPr>
      </w:pPr>
      <w:r w:rsidRPr="00610D9E">
        <w:rPr>
          <w:lang w:val="ru-RU"/>
        </w:rPr>
        <w:t>(Наименование организации-заказчика)</w:t>
      </w:r>
      <w:r w:rsidRPr="00610D9E">
        <w:rPr>
          <w:lang w:val="ru-RU"/>
        </w:rPr>
        <w:br/>
      </w:r>
    </w:p>
    <w:p w14:paraId="1A36B98A" w14:textId="77777777" w:rsidR="00740340" w:rsidRPr="00610D9E" w:rsidRDefault="00000000" w:rsidP="00610D9E">
      <w:pPr>
        <w:rPr>
          <w:bCs/>
          <w:lang w:val="ru-RU"/>
        </w:rPr>
      </w:pPr>
      <w:r w:rsidRPr="00610D9E">
        <w:rPr>
          <w:bCs/>
          <w:lang w:val="ru-RU"/>
        </w:rPr>
        <w:t>О применении скрепления типа Д-65 при укладке стрелочных переводов на композитные брусья</w:t>
      </w:r>
    </w:p>
    <w:p w14:paraId="0EF06E77" w14:textId="77777777" w:rsidR="00610D9E" w:rsidRPr="00610D9E" w:rsidRDefault="00000000" w:rsidP="00610D9E">
      <w:pPr>
        <w:jc w:val="center"/>
        <w:rPr>
          <w:b/>
          <w:bCs/>
          <w:lang w:val="ru-RU"/>
        </w:rPr>
      </w:pPr>
      <w:r w:rsidRPr="00610D9E">
        <w:rPr>
          <w:b/>
          <w:bCs/>
          <w:lang w:val="ru-RU"/>
        </w:rPr>
        <w:t>Уважаемые коллеги!</w:t>
      </w:r>
    </w:p>
    <w:p w14:paraId="779DBFB6" w14:textId="77777777" w:rsidR="00610D9E" w:rsidRDefault="00000000" w:rsidP="00610D9E">
      <w:pPr>
        <w:jc w:val="both"/>
        <w:rPr>
          <w:lang w:val="ru-RU"/>
        </w:rPr>
      </w:pPr>
      <w:r w:rsidRPr="00610D9E">
        <w:rPr>
          <w:lang w:val="ru-RU"/>
        </w:rPr>
        <w:t>ООО «АКСИОН РУС», являющееся разработчиком и производителем композитных шпал и брусьев по ТУ 22.29.29-002-40409414-2024 и Инструкции по укладке и эксплуатации КШ 22.29.29-002-02ТИ с, сообщает следующее.</w:t>
      </w:r>
    </w:p>
    <w:p w14:paraId="544FA00C" w14:textId="0DBBCBAC" w:rsidR="00610D9E" w:rsidRPr="00610D9E" w:rsidRDefault="00000000" w:rsidP="00610D9E">
      <w:pPr>
        <w:pStyle w:val="ae"/>
        <w:numPr>
          <w:ilvl w:val="0"/>
          <w:numId w:val="10"/>
        </w:numPr>
        <w:spacing w:after="120"/>
        <w:ind w:left="567" w:hanging="578"/>
        <w:contextualSpacing w:val="0"/>
        <w:jc w:val="both"/>
        <w:rPr>
          <w:b/>
          <w:bCs/>
          <w:lang w:val="ru-RU"/>
        </w:rPr>
      </w:pPr>
      <w:r w:rsidRPr="00610D9E">
        <w:rPr>
          <w:b/>
          <w:bCs/>
          <w:lang w:val="ru-RU"/>
        </w:rPr>
        <w:t>Применение скрепления типа Д-65.</w:t>
      </w:r>
    </w:p>
    <w:p w14:paraId="6714E630" w14:textId="77777777" w:rsidR="00610D9E" w:rsidRDefault="00000000" w:rsidP="00244EC9">
      <w:pPr>
        <w:pStyle w:val="ae"/>
        <w:spacing w:after="120"/>
        <w:ind w:left="142" w:firstLine="425"/>
        <w:contextualSpacing w:val="0"/>
        <w:jc w:val="both"/>
        <w:rPr>
          <w:lang w:val="ru-RU"/>
        </w:rPr>
      </w:pPr>
      <w:r w:rsidRPr="00610D9E">
        <w:rPr>
          <w:lang w:val="ru-RU"/>
        </w:rPr>
        <w:t>Конструкцией композитных брусьев предусмотрена возможность крепления рельсов и стрелочных переводов с использованием скрепления типа Д-65, включая установку костылей. Данный способ крепления прошел производственные испытания и соответствует требованиям механической прочности, а также нормам сопротивления выдергиванию крепежных элементов (см. разд. 4.12 ТУ 22.29.29-002-40409414-2024 и п. 5.7 Инструкции по укладке).</w:t>
      </w:r>
    </w:p>
    <w:p w14:paraId="27E935C0" w14:textId="38BFBCA0" w:rsidR="00610D9E" w:rsidRPr="00610D9E" w:rsidRDefault="00000000" w:rsidP="00610D9E">
      <w:pPr>
        <w:pStyle w:val="ae"/>
        <w:numPr>
          <w:ilvl w:val="0"/>
          <w:numId w:val="10"/>
        </w:numPr>
        <w:spacing w:after="120"/>
        <w:ind w:left="567" w:hanging="578"/>
        <w:contextualSpacing w:val="0"/>
        <w:jc w:val="both"/>
        <w:rPr>
          <w:b/>
          <w:bCs/>
          <w:lang w:val="ru-RU"/>
        </w:rPr>
      </w:pPr>
      <w:r w:rsidRPr="00610D9E">
        <w:rPr>
          <w:b/>
          <w:bCs/>
          <w:lang w:val="ru-RU"/>
        </w:rPr>
        <w:t>Обоснование отказа от применения подкладки под прокладку Д-65.</w:t>
      </w:r>
    </w:p>
    <w:p w14:paraId="48A67AF2" w14:textId="77777777" w:rsidR="00610D9E" w:rsidRDefault="00000000" w:rsidP="00244EC9">
      <w:pPr>
        <w:pStyle w:val="ae"/>
        <w:spacing w:after="120"/>
        <w:ind w:left="142" w:firstLine="207"/>
        <w:contextualSpacing w:val="0"/>
        <w:jc w:val="both"/>
        <w:rPr>
          <w:lang w:val="ru-RU"/>
        </w:rPr>
      </w:pPr>
      <w:r w:rsidRPr="00610D9E">
        <w:rPr>
          <w:lang w:val="ru-RU"/>
        </w:rPr>
        <w:t xml:space="preserve">В отличие от деревянного бруса, композитный брус, изготавливаемый по указанным техническим условиям, обладает высокой геометрической стабильностью, равномерной плотностью и однородной структурой по всей толщине материала (см. </w:t>
      </w:r>
      <w:proofErr w:type="spellStart"/>
      <w:r w:rsidRPr="00610D9E">
        <w:rPr>
          <w:lang w:val="ru-RU"/>
        </w:rPr>
        <w:t>пп</w:t>
      </w:r>
      <w:proofErr w:type="spellEnd"/>
      <w:r w:rsidRPr="00610D9E">
        <w:rPr>
          <w:lang w:val="ru-RU"/>
        </w:rPr>
        <w:t>. 1.2.1–1.2.2 ТУ 22.29.29-002-40409414-2024). В связи с этим дополнительная подкладка под резиновую прокладку типа Д-65 не требуется, поскольку:</w:t>
      </w:r>
    </w:p>
    <w:p w14:paraId="5F80C552" w14:textId="77777777" w:rsidR="00610D9E" w:rsidRDefault="00000000" w:rsidP="00610D9E">
      <w:pPr>
        <w:pStyle w:val="ae"/>
        <w:numPr>
          <w:ilvl w:val="0"/>
          <w:numId w:val="11"/>
        </w:numPr>
        <w:spacing w:after="120"/>
        <w:contextualSpacing w:val="0"/>
        <w:jc w:val="both"/>
        <w:rPr>
          <w:lang w:val="ru-RU"/>
        </w:rPr>
      </w:pPr>
      <w:r w:rsidRPr="00610D9E">
        <w:rPr>
          <w:lang w:val="ru-RU"/>
        </w:rPr>
        <w:t>отсутствует необходимость компенсации деформации, присущей древесине;</w:t>
      </w:r>
    </w:p>
    <w:p w14:paraId="64D768EC" w14:textId="77777777" w:rsidR="00610D9E" w:rsidRDefault="00000000" w:rsidP="00610D9E">
      <w:pPr>
        <w:pStyle w:val="ae"/>
        <w:numPr>
          <w:ilvl w:val="0"/>
          <w:numId w:val="11"/>
        </w:numPr>
        <w:spacing w:after="120"/>
        <w:contextualSpacing w:val="0"/>
        <w:jc w:val="both"/>
        <w:rPr>
          <w:lang w:val="ru-RU"/>
        </w:rPr>
      </w:pPr>
      <w:r w:rsidRPr="00610D9E">
        <w:rPr>
          <w:lang w:val="ru-RU"/>
        </w:rPr>
        <w:t xml:space="preserve"> композитный материал не подвержен усадке и разбуханию при изменении влажности и температуры;</w:t>
      </w:r>
    </w:p>
    <w:p w14:paraId="0659CA2E" w14:textId="1C08CE4D" w:rsidR="00610D9E" w:rsidRPr="00610D9E" w:rsidRDefault="00000000" w:rsidP="00610D9E">
      <w:pPr>
        <w:pStyle w:val="ae"/>
        <w:numPr>
          <w:ilvl w:val="0"/>
          <w:numId w:val="11"/>
        </w:numPr>
        <w:spacing w:after="120"/>
        <w:contextualSpacing w:val="0"/>
        <w:jc w:val="both"/>
        <w:rPr>
          <w:lang w:val="ru-RU"/>
        </w:rPr>
      </w:pPr>
      <w:r w:rsidRPr="00610D9E">
        <w:rPr>
          <w:lang w:val="ru-RU"/>
        </w:rPr>
        <w:t>конструктивные зазоры и распределение нагрузок обеспечиваются расчетной геометрией опорной поверхности бруса.</w:t>
      </w:r>
    </w:p>
    <w:p w14:paraId="0A7DFD25" w14:textId="77777777" w:rsidR="00610D9E" w:rsidRDefault="00000000" w:rsidP="00244EC9">
      <w:pPr>
        <w:spacing w:after="120"/>
        <w:ind w:left="349" w:firstLine="218"/>
        <w:jc w:val="both"/>
        <w:rPr>
          <w:lang w:val="ru-RU"/>
        </w:rPr>
      </w:pPr>
      <w:r w:rsidRPr="00610D9E">
        <w:rPr>
          <w:lang w:val="ru-RU"/>
        </w:rPr>
        <w:t>Таким образом, применение подкладки под прокладку Д-65 при монтаже рельсовых скреплений на композитный брус не имеет конструктивной и эксплуатационной целесообразности.</w:t>
      </w:r>
    </w:p>
    <w:p w14:paraId="313BB157" w14:textId="5A0F32B1" w:rsidR="00610D9E" w:rsidRPr="00610D9E" w:rsidRDefault="00000000" w:rsidP="00610D9E">
      <w:pPr>
        <w:pStyle w:val="ae"/>
        <w:numPr>
          <w:ilvl w:val="0"/>
          <w:numId w:val="10"/>
        </w:numPr>
        <w:spacing w:after="120"/>
        <w:ind w:left="567" w:hanging="567"/>
        <w:contextualSpacing w:val="0"/>
        <w:jc w:val="both"/>
        <w:rPr>
          <w:b/>
          <w:bCs/>
          <w:lang w:val="ru-RU"/>
        </w:rPr>
      </w:pPr>
      <w:r w:rsidRPr="00610D9E">
        <w:rPr>
          <w:b/>
          <w:bCs/>
          <w:lang w:val="ru-RU"/>
        </w:rPr>
        <w:t>Заключение.</w:t>
      </w:r>
    </w:p>
    <w:p w14:paraId="40789E54" w14:textId="13AB6527" w:rsidR="00740340" w:rsidRPr="00610D9E" w:rsidRDefault="00000000" w:rsidP="00244EC9">
      <w:pPr>
        <w:pStyle w:val="ae"/>
        <w:spacing w:after="120"/>
        <w:ind w:firstLine="720"/>
        <w:contextualSpacing w:val="0"/>
        <w:jc w:val="both"/>
        <w:rPr>
          <w:lang w:val="ru-RU"/>
        </w:rPr>
      </w:pPr>
      <w:r w:rsidRPr="00610D9E">
        <w:rPr>
          <w:lang w:val="ru-RU"/>
        </w:rPr>
        <w:t xml:space="preserve">Применение скрепления типа Д-65 с костылями на композитных брусьях допускается производителем. Дополнительные элементы (подкладки под прокладку Д-65) при этом не применяются, что соответствует технической документации и не влияет на надежность и долговечность узла рельсового </w:t>
      </w:r>
      <w:r w:rsidR="00244EC9">
        <w:rPr>
          <w:lang w:val="ru-RU"/>
        </w:rPr>
        <w:t>с</w:t>
      </w:r>
      <w:r w:rsidRPr="00610D9E">
        <w:rPr>
          <w:lang w:val="ru-RU"/>
        </w:rPr>
        <w:t>крепления.</w:t>
      </w:r>
    </w:p>
    <w:sectPr w:rsidR="00740340" w:rsidRPr="00610D9E" w:rsidSect="00610D9E">
      <w:pgSz w:w="12240" w:h="15840"/>
      <w:pgMar w:top="284" w:right="900" w:bottom="851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8963E0D"/>
    <w:multiLevelType w:val="hybridMultilevel"/>
    <w:tmpl w:val="884C6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7D0A92"/>
    <w:multiLevelType w:val="hybridMultilevel"/>
    <w:tmpl w:val="7292E784"/>
    <w:lvl w:ilvl="0" w:tplc="041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num w:numId="1" w16cid:durableId="1039091573">
    <w:abstractNumId w:val="8"/>
  </w:num>
  <w:num w:numId="2" w16cid:durableId="808867183">
    <w:abstractNumId w:val="6"/>
  </w:num>
  <w:num w:numId="3" w16cid:durableId="1132212493">
    <w:abstractNumId w:val="5"/>
  </w:num>
  <w:num w:numId="4" w16cid:durableId="320426382">
    <w:abstractNumId w:val="4"/>
  </w:num>
  <w:num w:numId="5" w16cid:durableId="1177040860">
    <w:abstractNumId w:val="7"/>
  </w:num>
  <w:num w:numId="6" w16cid:durableId="1363900200">
    <w:abstractNumId w:val="3"/>
  </w:num>
  <w:num w:numId="7" w16cid:durableId="934485157">
    <w:abstractNumId w:val="2"/>
  </w:num>
  <w:num w:numId="8" w16cid:durableId="1307395979">
    <w:abstractNumId w:val="1"/>
  </w:num>
  <w:num w:numId="9" w16cid:durableId="1985885930">
    <w:abstractNumId w:val="0"/>
  </w:num>
  <w:num w:numId="10" w16cid:durableId="797259013">
    <w:abstractNumId w:val="9"/>
  </w:num>
  <w:num w:numId="11" w16cid:durableId="20660979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B7CD3"/>
    <w:rsid w:val="00244EC9"/>
    <w:rsid w:val="0029639D"/>
    <w:rsid w:val="00326F90"/>
    <w:rsid w:val="00610D9E"/>
    <w:rsid w:val="00740340"/>
    <w:rsid w:val="00AA1D8D"/>
    <w:rsid w:val="00B47730"/>
    <w:rsid w:val="00CB0664"/>
    <w:rsid w:val="00D313AD"/>
    <w:rsid w:val="00FC693F"/>
    <w:rsid w:val="00FE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7A5189"/>
  <w14:defaultImageDpi w14:val="300"/>
  <w15:docId w15:val="{DDF0DEFD-E635-443E-AF54-C2172CA9A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Ivanov Andrey</cp:lastModifiedBy>
  <cp:revision>2</cp:revision>
  <dcterms:created xsi:type="dcterms:W3CDTF">2025-11-14T07:55:00Z</dcterms:created>
  <dcterms:modified xsi:type="dcterms:W3CDTF">2025-11-14T07:55:00Z</dcterms:modified>
  <cp:category/>
</cp:coreProperties>
</file>