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кладовщика (жёсткая версия)</w:t>
      </w:r>
    </w:p>
    <w:p>
      <w:r>
        <w:t>Кладовщик отвечает за материально-технические ресурсы.</w:t>
      </w:r>
    </w:p>
    <w:p>
      <w:r>
        <w:t>Ключевые обязанности: приёмка, учёт, сохранность.</w:t>
      </w:r>
    </w:p>
    <w:p>
      <w:r>
        <w:t>KPI: отсутствие недостач, корректный учёт.</w:t>
      </w:r>
    </w:p>
    <w:p>
      <w:r>
        <w:t>Недопустимо: выдача без заявки, неучтённый расход.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