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Должностная инструкция прораба (жёсткая версия)</w:t>
      </w:r>
    </w:p>
    <w:p>
      <w:r>
        <w:t>Прораб отвечает за фактическое выполнение строительно-монтажных работ.</w:t>
      </w:r>
    </w:p>
    <w:p>
      <w:r>
        <w:t>Ключевые обязанности: организация работ, соблюдение технологии, ведение журналов, факт выполнения.</w:t>
      </w:r>
    </w:p>
    <w:p>
      <w:r>
        <w:t>KPI: соблюдение сроков, отсутствие переделок, минимальные замечания Заказчика.</w:t>
      </w:r>
    </w:p>
    <w:p>
      <w:r>
        <w:t>Недопустимо: выполнение работ без скрытых актов, закрытие объёмов без факта.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