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Должностная инструкция кладовщика</w:t>
      </w:r>
    </w:p>
    <w:p>
      <w:r>
        <w:t>1. Общие положения</w:t>
        <w:br/>
        <w:t>Кладовщик отвечает за МТР на объекте.</w:t>
      </w:r>
    </w:p>
    <w:p>
      <w:r>
        <w:t>2. Обязанности</w:t>
        <w:br/>
        <w:t>- Приемка материалов</w:t>
        <w:br/>
        <w:t>- Учет и хранение</w:t>
        <w:br/>
        <w:t>- Выдача по заявкам</w:t>
      </w:r>
    </w:p>
    <w:p>
      <w:r>
        <w:t>3. Ответственность</w:t>
        <w:br/>
        <w:t>Несет материальную ответственность за ТМЦ.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