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прораба</w:t>
      </w:r>
    </w:p>
    <w:p>
      <w:r>
        <w:t>1. Общие положения</w:t>
        <w:br/>
        <w:t>Прораб отвечает за фактическое выполнение строительно-монтажных работ на объекте.</w:t>
      </w:r>
    </w:p>
    <w:p>
      <w:r>
        <w:t>2. Основные обязанности</w:t>
        <w:br/>
        <w:t>- Организация работ</w:t>
        <w:br/>
        <w:t>- Контроль качества и сроков</w:t>
        <w:br/>
        <w:t>- Ведение журналов работ</w:t>
        <w:br/>
        <w:t>- Инициирование и подписание актов скрытых работ</w:t>
        <w:br/>
        <w:t>- Передача фактических данных в ПТО</w:t>
      </w:r>
    </w:p>
    <w:p>
      <w:r>
        <w:t>3. Ответственность</w:t>
        <w:br/>
        <w:t>Прораб несет персональную ответственность за фактичес подчеркнутые объемы и соответствие проекту.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