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Корпоративный стандарт управления строительными объектами</w:t>
      </w:r>
    </w:p>
    <w:p>
      <w:r>
        <w:t>Документ устанавливает единые внутренние правила распределения ответственности, взаимодействия участников строительства и ведения исполнительной документации.</w:t>
        <w:br/>
        <w:br/>
        <w:t>Принцип компании:</w:t>
        <w:br/>
        <w:t>Факт – Прораб</w:t>
        <w:br/>
        <w:t>Оформление – ПТО</w:t>
        <w:br/>
        <w:t>Принятие – Заказчик</w:t>
        <w:br/>
        <w:br/>
        <w:t>Стандарт обязателен для применения на всех объектах компании.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