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Приказ о назначении ответственности – Прораб</w:t>
      </w:r>
    </w:p>
    <w:p>
      <w:r>
        <w:t>Назначить прораба ответственным за фактическое выполнение СМР и ведение журналов работ.</w:t>
      </w:r>
    </w:p>
    <w:p>
      <w:r>
        <w:t>Прораб несет персональную ответственность за достоверность факта выполнения.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