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Регламент взаимодействия Прораб – ПТО</w:t>
      </w:r>
    </w:p>
    <w:p>
      <w:r>
        <w:t>Прораб отвечает за фактическое выполнение работ и передачу данных.</w:t>
        <w:br/>
        <w:t>ПТО отвечает за оформление исполнительной документации.</w:t>
        <w:br/>
        <w:br/>
        <w:t>Запрещается:</w:t>
        <w:br/>
        <w:t>- закрывать объемы без факта;</w:t>
        <w:br/>
        <w:t>- выполнять скрытые работы без актов;</w:t>
        <w:br/>
        <w:t>- оформлять ИД без данных с объекта.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